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پردیس شهید رجایی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کرمانشاه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1399-1398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384A05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84A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راننده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384A05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84A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امیر آهنامه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384A05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84A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محمد آزادی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384A05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  <w:r w:rsidR="00437BD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84A0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11084067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553" w:type="dxa"/>
        <w:jc w:val="center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2"/>
        <w:gridCol w:w="594"/>
        <w:gridCol w:w="6459"/>
        <w:gridCol w:w="1687"/>
        <w:gridCol w:w="12"/>
        <w:gridCol w:w="1777"/>
        <w:gridCol w:w="12"/>
      </w:tblGrid>
      <w:tr w:rsidR="006A1833" w:rsidRPr="00437BD9" w:rsidTr="00437BD9">
        <w:trPr>
          <w:gridBefore w:val="1"/>
          <w:wBefore w:w="12" w:type="dxa"/>
          <w:trHeight w:val="256"/>
          <w:jc w:val="center"/>
        </w:trPr>
        <w:tc>
          <w:tcPr>
            <w:tcW w:w="59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ردیف</w:t>
            </w:r>
          </w:p>
        </w:tc>
        <w:tc>
          <w:tcPr>
            <w:tcW w:w="64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عنوان شاخص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437BD9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هدف مورد انتظار</w:t>
            </w:r>
          </w:p>
        </w:tc>
        <w:tc>
          <w:tcPr>
            <w:tcW w:w="178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437BD9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(وزن</w:t>
            </w:r>
            <w:r w:rsidR="005302ED"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پیشنهادی</w:t>
            </w: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شاخص)</w:t>
            </w:r>
          </w:p>
        </w:tc>
      </w:tr>
      <w:tr w:rsidR="006A1833" w:rsidRPr="00437BD9" w:rsidTr="00437BD9">
        <w:trPr>
          <w:gridBefore w:val="1"/>
          <w:wBefore w:w="12" w:type="dxa"/>
          <w:trHeight w:val="340"/>
          <w:jc w:val="center"/>
        </w:trPr>
        <w:tc>
          <w:tcPr>
            <w:tcW w:w="594" w:type="dxa"/>
            <w:tcBorders>
              <w:top w:val="single" w:sz="12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459" w:type="dxa"/>
            <w:tcBorders>
              <w:top w:val="single" w:sz="12" w:space="0" w:color="auto"/>
            </w:tcBorders>
            <w:vAlign w:val="center"/>
          </w:tcPr>
          <w:p w:rsidR="006A1833" w:rsidRPr="00437BD9" w:rsidRDefault="00BE48FB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tl/>
              </w:rPr>
              <w:t>حمل و نقل افراد، کاال، و سایر محصوالت متناسب با ظرفیت خودرو در داخل و یا خارج شهر طبق دستور و ماموریتهای محوله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</w:tcBorders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6A1833" w:rsidRPr="00437BD9" w:rsidTr="00437BD9">
        <w:trPr>
          <w:gridBefore w:val="1"/>
          <w:wBefore w:w="12" w:type="dxa"/>
          <w:trHeight w:val="275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6459" w:type="dxa"/>
            <w:vAlign w:val="center"/>
          </w:tcPr>
          <w:p w:rsidR="006A1833" w:rsidRPr="00437BD9" w:rsidRDefault="00BE48FB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tl/>
              </w:rPr>
              <w:t>کنترل کلیه قسمتها، تجهیزات، وسایل لوازم و متعلقات خودرو قبل و بعد از حرکت و انجام تعمیرات ساده و معمولی وسیله نقلیه تحت نظر و گزارش تعمیرات مورد نیاز</w:t>
            </w: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6A1833" w:rsidRPr="00437BD9" w:rsidTr="00437BD9">
        <w:trPr>
          <w:gridBefore w:val="1"/>
          <w:wBefore w:w="12" w:type="dxa"/>
          <w:trHeight w:val="393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6459" w:type="dxa"/>
            <w:vAlign w:val="center"/>
          </w:tcPr>
          <w:p w:rsidR="00ED2240" w:rsidRPr="00437BD9" w:rsidRDefault="00BE48FB" w:rsidP="00BE48FB">
            <w:pPr>
              <w:rPr>
                <w:sz w:val="16"/>
                <w:szCs w:val="16"/>
              </w:rPr>
            </w:pPr>
            <w:r>
              <w:rPr>
                <w:rtl/>
              </w:rPr>
              <w:t>مراقبت در تمیز نگهداشتن خودرو و سرویس به موقع آن</w:t>
            </w:r>
          </w:p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6A1833" w:rsidRPr="00437BD9" w:rsidTr="00437BD9">
        <w:trPr>
          <w:gridBefore w:val="1"/>
          <w:wBefore w:w="12" w:type="dxa"/>
          <w:trHeight w:val="411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6459" w:type="dxa"/>
            <w:vAlign w:val="center"/>
          </w:tcPr>
          <w:p w:rsidR="00ED2240" w:rsidRPr="00437BD9" w:rsidRDefault="00BE48FB" w:rsidP="00ED2240">
            <w:pPr>
              <w:rPr>
                <w:sz w:val="16"/>
                <w:szCs w:val="16"/>
              </w:rPr>
            </w:pPr>
            <w:r>
              <w:rPr>
                <w:rtl/>
              </w:rPr>
              <w:t>حفظ و حراست خودرو و لوازم و متعلقات آن</w:t>
            </w:r>
            <w:r>
              <w:t>.</w:t>
            </w:r>
          </w:p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6A1833" w:rsidRPr="00437BD9" w:rsidTr="00437BD9">
        <w:trPr>
          <w:gridBefore w:val="1"/>
          <w:wBefore w:w="12" w:type="dxa"/>
          <w:trHeight w:val="430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6459" w:type="dxa"/>
            <w:vAlign w:val="center"/>
          </w:tcPr>
          <w:p w:rsidR="006A1833" w:rsidRPr="00437BD9" w:rsidRDefault="00BE48FB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tl/>
              </w:rPr>
              <w:t>انجام سایر امور مربوطه طبق نظر مقام مافوق مطابق با نیاز سیستم</w:t>
            </w:r>
            <w:r>
              <w:t>.</w:t>
            </w: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437BD9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6A1833" w:rsidRPr="00437BD9" w:rsidTr="00437BD9">
        <w:trPr>
          <w:gridBefore w:val="1"/>
          <w:wBefore w:w="12" w:type="dxa"/>
          <w:trHeight w:val="215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6459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1833" w:rsidRPr="00437BD9" w:rsidTr="00437BD9">
        <w:trPr>
          <w:gridBefore w:val="1"/>
          <w:wBefore w:w="12" w:type="dxa"/>
          <w:trHeight w:val="225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6459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1833" w:rsidRPr="00437BD9" w:rsidTr="00437BD9">
        <w:trPr>
          <w:gridBefore w:val="1"/>
          <w:wBefore w:w="12" w:type="dxa"/>
          <w:trHeight w:val="215"/>
          <w:jc w:val="center"/>
        </w:trPr>
        <w:tc>
          <w:tcPr>
            <w:tcW w:w="594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6459" w:type="dxa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1833" w:rsidRPr="00437BD9" w:rsidTr="00437BD9">
        <w:trPr>
          <w:gridBefore w:val="1"/>
          <w:wBefore w:w="12" w:type="dxa"/>
          <w:trHeight w:val="215"/>
          <w:jc w:val="center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1833" w:rsidRPr="00437BD9" w:rsidTr="00437BD9">
        <w:trPr>
          <w:gridBefore w:val="1"/>
          <w:wBefore w:w="12" w:type="dxa"/>
          <w:trHeight w:val="225"/>
          <w:jc w:val="center"/>
        </w:trPr>
        <w:tc>
          <w:tcPr>
            <w:tcW w:w="5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A1833" w:rsidRPr="00437BD9" w:rsidTr="00437BD9">
        <w:trPr>
          <w:gridAfter w:val="1"/>
          <w:wAfter w:w="12" w:type="dxa"/>
          <w:trHeight w:val="149"/>
          <w:jc w:val="center"/>
        </w:trPr>
        <w:tc>
          <w:tcPr>
            <w:tcW w:w="875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سقف امتیاز :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437BD9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37BD9"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BE48FB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  <w:r w:rsidR="00437B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E48FB">
              <w:rPr>
                <w:rFonts w:cs="B Nazanin" w:hint="cs"/>
                <w:sz w:val="20"/>
                <w:szCs w:val="20"/>
                <w:rtl/>
              </w:rPr>
              <w:t>محمد آزادی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BE48FB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  <w:r w:rsidR="00437B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E48FB">
              <w:rPr>
                <w:rFonts w:cs="B Nazanin" w:hint="cs"/>
                <w:sz w:val="20"/>
                <w:szCs w:val="20"/>
                <w:rtl/>
              </w:rPr>
              <w:t xml:space="preserve">امیر آنامه </w:t>
            </w:r>
          </w:p>
        </w:tc>
      </w:tr>
    </w:tbl>
    <w:p w:rsidR="00437BD9" w:rsidRDefault="00437BD9" w:rsidP="00437BD9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Pr="00437BD9" w:rsidRDefault="00437BD9" w:rsidP="00437BD9">
      <w:pPr>
        <w:rPr>
          <w:rFonts w:cs="B Nazanin"/>
          <w:sz w:val="20"/>
          <w:szCs w:val="20"/>
          <w:rtl/>
        </w:rPr>
      </w:pPr>
    </w:p>
    <w:p w:rsidR="00437BD9" w:rsidRDefault="00437BD9" w:rsidP="00437BD9">
      <w:pPr>
        <w:rPr>
          <w:rFonts w:cs="B Nazanin"/>
          <w:sz w:val="20"/>
          <w:szCs w:val="20"/>
          <w:rtl/>
        </w:rPr>
      </w:pPr>
    </w:p>
    <w:p w:rsidR="006028BE" w:rsidRPr="00437BD9" w:rsidRDefault="00437BD9" w:rsidP="00437BD9">
      <w:pPr>
        <w:tabs>
          <w:tab w:val="left" w:pos="7189"/>
        </w:tabs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sectPr w:rsidR="006028BE" w:rsidRPr="00437BD9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B8" w:rsidRDefault="006348B8" w:rsidP="00A16C40">
      <w:pPr>
        <w:spacing w:after="0" w:line="240" w:lineRule="auto"/>
      </w:pPr>
      <w:r>
        <w:separator/>
      </w:r>
    </w:p>
  </w:endnote>
  <w:endnote w:type="continuationSeparator" w:id="0">
    <w:p w:rsidR="006348B8" w:rsidRDefault="006348B8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B8" w:rsidRDefault="006348B8" w:rsidP="00A16C40">
      <w:pPr>
        <w:spacing w:after="0" w:line="240" w:lineRule="auto"/>
      </w:pPr>
      <w:r>
        <w:separator/>
      </w:r>
    </w:p>
  </w:footnote>
  <w:footnote w:type="continuationSeparator" w:id="0">
    <w:p w:rsidR="006348B8" w:rsidRDefault="006348B8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51DC"/>
    <w:rsid w:val="000A6111"/>
    <w:rsid w:val="000A7D85"/>
    <w:rsid w:val="000C41BA"/>
    <w:rsid w:val="000C56AD"/>
    <w:rsid w:val="000D2348"/>
    <w:rsid w:val="000D271E"/>
    <w:rsid w:val="000E1B00"/>
    <w:rsid w:val="000F2661"/>
    <w:rsid w:val="00132D45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351E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4A05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37BD9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2187C"/>
    <w:rsid w:val="006310AC"/>
    <w:rsid w:val="006348B8"/>
    <w:rsid w:val="00640D7F"/>
    <w:rsid w:val="006557C3"/>
    <w:rsid w:val="0066435D"/>
    <w:rsid w:val="00666425"/>
    <w:rsid w:val="00666893"/>
    <w:rsid w:val="00675380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374B0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BE48FB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240"/>
    <w:rsid w:val="00ED2AEB"/>
    <w:rsid w:val="00ED5CD3"/>
    <w:rsid w:val="00EE1C68"/>
    <w:rsid w:val="00EF1D21"/>
    <w:rsid w:val="00F153D8"/>
    <w:rsid w:val="00F167D8"/>
    <w:rsid w:val="00F4324A"/>
    <w:rsid w:val="00F45F6C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D2240"/>
    <w:rPr>
      <w:rFonts w:cs="B Nazanin" w:hint="cs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72C5-A8B6-4D61-B02B-C155AEA9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>MRT www.Win2Farsi.com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jp</cp:lastModifiedBy>
  <cp:revision>4</cp:revision>
  <cp:lastPrinted>2020-10-13T05:39:00Z</cp:lastPrinted>
  <dcterms:created xsi:type="dcterms:W3CDTF">2020-10-06T05:53:00Z</dcterms:created>
  <dcterms:modified xsi:type="dcterms:W3CDTF">2020-10-13T05:39:00Z</dcterms:modified>
</cp:coreProperties>
</file>